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F854" w14:textId="77777777" w:rsidR="000A215A" w:rsidRDefault="000A215A"/>
    <w:p w14:paraId="416372ED" w14:textId="77777777" w:rsidR="00A5466A" w:rsidRDefault="00A5466A" w:rsidP="000A215A">
      <w:pPr>
        <w:jc w:val="center"/>
        <w:rPr>
          <w:b/>
          <w:bCs/>
        </w:rPr>
      </w:pPr>
    </w:p>
    <w:p w14:paraId="1F3CC1B8" w14:textId="6C2ECF0F" w:rsidR="00C60887" w:rsidRPr="00C60887" w:rsidRDefault="00C60887" w:rsidP="00A72A23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60887">
        <w:t>Tel Aviv, July</w:t>
      </w:r>
      <w:r w:rsidR="008366EF">
        <w:t xml:space="preserve"> </w:t>
      </w:r>
      <w:r w:rsidR="00A72A23">
        <w:t>10</w:t>
      </w:r>
      <w:r w:rsidR="008366EF">
        <w:t>,</w:t>
      </w:r>
      <w:r w:rsidRPr="00C60887">
        <w:t xml:space="preserve"> 2019</w:t>
      </w:r>
    </w:p>
    <w:p w14:paraId="78E07E97" w14:textId="77777777" w:rsidR="00C60887" w:rsidRDefault="00C60887" w:rsidP="000A215A">
      <w:pPr>
        <w:jc w:val="center"/>
        <w:rPr>
          <w:b/>
          <w:bCs/>
        </w:rPr>
      </w:pPr>
    </w:p>
    <w:p w14:paraId="57656363" w14:textId="77777777" w:rsidR="000A215A" w:rsidRPr="00092269" w:rsidRDefault="000A215A" w:rsidP="00806815">
      <w:pPr>
        <w:jc w:val="center"/>
        <w:rPr>
          <w:b/>
          <w:bCs/>
          <w:sz w:val="32"/>
          <w:szCs w:val="32"/>
        </w:rPr>
      </w:pPr>
      <w:r w:rsidRPr="00092269">
        <w:rPr>
          <w:b/>
          <w:bCs/>
          <w:sz w:val="32"/>
          <w:szCs w:val="32"/>
        </w:rPr>
        <w:t xml:space="preserve">The </w:t>
      </w:r>
      <w:r w:rsidR="00806815" w:rsidRPr="00092269">
        <w:rPr>
          <w:b/>
          <w:bCs/>
          <w:sz w:val="32"/>
          <w:szCs w:val="32"/>
        </w:rPr>
        <w:t>Safety Unit – Sackler Faculty of Medicine</w:t>
      </w:r>
    </w:p>
    <w:p w14:paraId="67A2A29B" w14:textId="77777777" w:rsidR="000A215A" w:rsidRDefault="000A215A" w:rsidP="000A215A">
      <w:pPr>
        <w:jc w:val="center"/>
        <w:rPr>
          <w:b/>
          <w:bCs/>
          <w:sz w:val="22"/>
          <w:szCs w:val="22"/>
        </w:rPr>
      </w:pPr>
    </w:p>
    <w:p w14:paraId="654505C0" w14:textId="77777777" w:rsidR="0077308D" w:rsidRPr="00092269" w:rsidRDefault="00320430" w:rsidP="00320430">
      <w:pPr>
        <w:jc w:val="center"/>
        <w:rPr>
          <w:b/>
          <w:bCs/>
          <w:sz w:val="28"/>
          <w:szCs w:val="28"/>
          <w:u w:val="single"/>
        </w:rPr>
      </w:pPr>
      <w:r w:rsidRPr="00092269">
        <w:rPr>
          <w:b/>
          <w:bCs/>
          <w:sz w:val="28"/>
          <w:szCs w:val="28"/>
          <w:u w:val="single"/>
        </w:rPr>
        <w:t>Requirements for Flammable Liquid Storage</w:t>
      </w:r>
    </w:p>
    <w:p w14:paraId="23FA70BE" w14:textId="77777777" w:rsidR="00320430" w:rsidRDefault="00320430" w:rsidP="00915EA1"/>
    <w:p w14:paraId="59C3E244" w14:textId="12AA97FB" w:rsidR="00E44333" w:rsidRDefault="00E44333" w:rsidP="00C05827">
      <w:pPr>
        <w:jc w:val="both"/>
      </w:pPr>
      <w:r w:rsidRPr="00831C55">
        <w:rPr>
          <w:b/>
          <w:bCs/>
        </w:rPr>
        <w:t xml:space="preserve">Liquid </w:t>
      </w:r>
      <w:r w:rsidR="008F3B7B" w:rsidRPr="00831C55">
        <w:rPr>
          <w:b/>
          <w:bCs/>
        </w:rPr>
        <w:t>c</w:t>
      </w:r>
      <w:r w:rsidRPr="00831C55">
        <w:rPr>
          <w:b/>
          <w:bCs/>
        </w:rPr>
        <w:t>hemicals</w:t>
      </w:r>
      <w:r>
        <w:t xml:space="preserve"> for </w:t>
      </w:r>
      <w:r w:rsidR="008F3B7B">
        <w:t>m</w:t>
      </w:r>
      <w:r>
        <w:t xml:space="preserve">olecular </w:t>
      </w:r>
      <w:r w:rsidR="008F3B7B">
        <w:t>b</w:t>
      </w:r>
      <w:r>
        <w:t xml:space="preserve">iology </w:t>
      </w:r>
      <w:r w:rsidR="008F3B7B">
        <w:t>r</w:t>
      </w:r>
      <w:r>
        <w:t xml:space="preserve">esearch use at </w:t>
      </w:r>
      <w:r w:rsidR="008366EF">
        <w:t xml:space="preserve">the </w:t>
      </w:r>
      <w:r>
        <w:t xml:space="preserve">Sackler </w:t>
      </w:r>
      <w:r w:rsidR="008366EF">
        <w:t xml:space="preserve">School of Medicine </w:t>
      </w:r>
      <w:r>
        <w:t xml:space="preserve">Building </w:t>
      </w:r>
      <w:proofErr w:type="gramStart"/>
      <w:r>
        <w:t>are classif</w:t>
      </w:r>
      <w:r w:rsidR="00C05827">
        <w:t>ied</w:t>
      </w:r>
      <w:proofErr w:type="gramEnd"/>
      <w:r>
        <w:t xml:space="preserve"> as flammable and combustible. To comply with regulations and keep employees safe, the proper storage of these hazardous ensures a safe environment. </w:t>
      </w:r>
    </w:p>
    <w:p w14:paraId="4ACC4237" w14:textId="77777777" w:rsidR="00E44333" w:rsidRDefault="00E44333" w:rsidP="00F31D2D">
      <w:pPr>
        <w:jc w:val="both"/>
      </w:pPr>
    </w:p>
    <w:p w14:paraId="183362DB" w14:textId="77777777" w:rsidR="00A72A23" w:rsidRDefault="00A72A23" w:rsidP="00A72A23">
      <w:r>
        <w:t xml:space="preserve">Flammable chemicals cannot be stored in hallways or in ordinary lab closets unless the following rules </w:t>
      </w:r>
      <w:proofErr w:type="gramStart"/>
      <w:r>
        <w:t>are adhered</w:t>
      </w:r>
      <w:proofErr w:type="gramEnd"/>
      <w:r>
        <w:t xml:space="preserve"> to: </w:t>
      </w:r>
      <w:bookmarkStart w:id="0" w:name="_GoBack"/>
      <w:bookmarkEnd w:id="0"/>
    </w:p>
    <w:p w14:paraId="56B8A9B6" w14:textId="77777777" w:rsidR="00E44333" w:rsidRDefault="00E44333" w:rsidP="00F31D2D">
      <w:pPr>
        <w:jc w:val="both"/>
      </w:pPr>
    </w:p>
    <w:p w14:paraId="05539A9D" w14:textId="35E37E18" w:rsidR="00320430" w:rsidRDefault="00A72A23" w:rsidP="00A47018">
      <w:pPr>
        <w:jc w:val="both"/>
      </w:pPr>
      <w:r>
        <w:t>T</w:t>
      </w:r>
      <w:r w:rsidR="008258DD">
        <w:t xml:space="preserve">he Regulations and Standards of the Safety Unit </w:t>
      </w:r>
      <w:r w:rsidR="00A47018">
        <w:t>at</w:t>
      </w:r>
      <w:r w:rsidR="008258DD">
        <w:t xml:space="preserve"> Tel Aviv University</w:t>
      </w:r>
      <w:r w:rsidR="0068385C">
        <w:t xml:space="preserve"> (TAU)</w:t>
      </w:r>
      <w:r w:rsidR="008258DD">
        <w:t xml:space="preserve">, flammable liquid chemicals </w:t>
      </w:r>
      <w:r w:rsidR="008366EF">
        <w:t>must</w:t>
      </w:r>
      <w:r w:rsidR="008258DD">
        <w:t xml:space="preserve"> be stor</w:t>
      </w:r>
      <w:r w:rsidR="008366EF">
        <w:t>ed</w:t>
      </w:r>
      <w:r w:rsidR="008258DD">
        <w:t xml:space="preserve"> in </w:t>
      </w:r>
      <w:r w:rsidR="0068385C" w:rsidRPr="0068385C">
        <w:t>flammable liquids storage cabinet</w:t>
      </w:r>
      <w:r w:rsidR="0068385C">
        <w:t xml:space="preserve">s such as </w:t>
      </w:r>
      <w:r w:rsidR="0068385C" w:rsidRPr="0068385C">
        <w:t>"</w:t>
      </w:r>
      <w:proofErr w:type="spellStart"/>
      <w:r w:rsidR="008258DD" w:rsidRPr="008258DD">
        <w:rPr>
          <w:u w:val="single"/>
        </w:rPr>
        <w:t>Justrite</w:t>
      </w:r>
      <w:proofErr w:type="spellEnd"/>
      <w:r w:rsidR="008258DD" w:rsidRPr="008258DD">
        <w:rPr>
          <w:u w:val="single"/>
        </w:rPr>
        <w:t xml:space="preserve"> </w:t>
      </w:r>
      <w:r w:rsidR="008366EF">
        <w:rPr>
          <w:u w:val="single"/>
        </w:rPr>
        <w:t>S</w:t>
      </w:r>
      <w:r w:rsidR="008258DD" w:rsidRPr="008258DD">
        <w:rPr>
          <w:u w:val="single"/>
        </w:rPr>
        <w:t xml:space="preserve">afety </w:t>
      </w:r>
      <w:r w:rsidR="008366EF">
        <w:rPr>
          <w:u w:val="single"/>
        </w:rPr>
        <w:t>C</w:t>
      </w:r>
      <w:r w:rsidR="008258DD" w:rsidRPr="008258DD">
        <w:rPr>
          <w:u w:val="single"/>
        </w:rPr>
        <w:t>abinets</w:t>
      </w:r>
      <w:r w:rsidR="0068385C">
        <w:rPr>
          <w:u w:val="single"/>
        </w:rPr>
        <w:t>" or equivalent ones</w:t>
      </w:r>
      <w:r w:rsidR="008258DD">
        <w:t>.</w:t>
      </w:r>
      <w:r w:rsidR="005424A9">
        <w:t xml:space="preserve"> </w:t>
      </w:r>
    </w:p>
    <w:p w14:paraId="735F374C" w14:textId="77777777" w:rsidR="00F31D2D" w:rsidRDefault="00F31D2D" w:rsidP="00F31D2D">
      <w:pPr>
        <w:jc w:val="both"/>
      </w:pPr>
    </w:p>
    <w:p w14:paraId="26D95CA4" w14:textId="254A0788" w:rsidR="00F31D2D" w:rsidRDefault="0068385C" w:rsidP="00F31D2D">
      <w:pPr>
        <w:jc w:val="both"/>
      </w:pPr>
      <w:r>
        <w:t xml:space="preserve">Such </w:t>
      </w:r>
      <w:r w:rsidR="008F3B7B">
        <w:t>c</w:t>
      </w:r>
      <w:r w:rsidR="00F31D2D">
        <w:t xml:space="preserve">abinets contain </w:t>
      </w:r>
      <w:r w:rsidR="008366EF">
        <w:t xml:space="preserve">a </w:t>
      </w:r>
      <w:r w:rsidR="00F31D2D">
        <w:t>double-wall steel structure with an air space for fire resistance</w:t>
      </w:r>
      <w:r w:rsidR="008B3E25">
        <w:t xml:space="preserve"> and are appropriate for chemical liquid storage</w:t>
      </w:r>
      <w:r w:rsidR="00F31D2D">
        <w:t>.</w:t>
      </w:r>
      <w:r w:rsidR="000C595D">
        <w:t xml:space="preserve"> The cabinet construction protects its contents from fire, </w:t>
      </w:r>
      <w:r w:rsidR="008366EF">
        <w:t xml:space="preserve">preventing </w:t>
      </w:r>
      <w:r w:rsidR="000C595D">
        <w:t xml:space="preserve">the fire </w:t>
      </w:r>
      <w:r w:rsidR="008366EF">
        <w:t>from</w:t>
      </w:r>
      <w:r w:rsidR="000C595D">
        <w:t xml:space="preserve"> reach</w:t>
      </w:r>
      <w:r w:rsidR="008366EF">
        <w:t>ing</w:t>
      </w:r>
      <w:r w:rsidR="000C595D">
        <w:t xml:space="preserve"> the chemicals.</w:t>
      </w:r>
    </w:p>
    <w:p w14:paraId="2A7EE881" w14:textId="5E2A17D7" w:rsidR="008F3B7B" w:rsidRDefault="008F3B7B" w:rsidP="00F31D2D">
      <w:pPr>
        <w:jc w:val="both"/>
      </w:pPr>
    </w:p>
    <w:p w14:paraId="7DE17664" w14:textId="500A49A6" w:rsidR="008F3B7B" w:rsidRPr="008F3B7B" w:rsidRDefault="008F3B7B" w:rsidP="008F3B7B">
      <w:pPr>
        <w:rPr>
          <w:lang w:bidi="ar-SA"/>
        </w:rPr>
      </w:pPr>
      <w:r w:rsidRPr="00A72A23">
        <w:rPr>
          <w:noProof/>
        </w:rPr>
        <w:drawing>
          <wp:anchor distT="0" distB="0" distL="114300" distR="114300" simplePos="0" relativeHeight="251658240" behindDoc="1" locked="0" layoutInCell="1" allowOverlap="1" wp14:anchorId="74F551CF" wp14:editId="27E84067">
            <wp:simplePos x="0" y="0"/>
            <wp:positionH relativeFrom="column">
              <wp:posOffset>5033010</wp:posOffset>
            </wp:positionH>
            <wp:positionV relativeFrom="paragraph">
              <wp:posOffset>208973</wp:posOffset>
            </wp:positionV>
            <wp:extent cx="1192530" cy="1163320"/>
            <wp:effectExtent l="0" t="0" r="1270" b="5080"/>
            <wp:wrapTight wrapText="bothSides">
              <wp:wrapPolygon edited="0">
                <wp:start x="0" y="0"/>
                <wp:lineTo x="0" y="21459"/>
                <wp:lineTo x="21393" y="21459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0 at 2.06.24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92530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A23">
        <w:t xml:space="preserve">If the safety cabinet is stored in the hallway, </w:t>
      </w:r>
      <w:r w:rsidRPr="00831C55">
        <w:rPr>
          <w:lang w:bidi="ar-SA"/>
        </w:rPr>
        <w:t>it must not block safe passage, allowing for a minimal passage space of 110 cm.</w:t>
      </w:r>
    </w:p>
    <w:p w14:paraId="6109468C" w14:textId="50D9359E" w:rsidR="008F3B7B" w:rsidRDefault="008F3B7B" w:rsidP="00F31D2D">
      <w:pPr>
        <w:jc w:val="both"/>
      </w:pPr>
    </w:p>
    <w:p w14:paraId="20BB4F1A" w14:textId="23549E0A" w:rsidR="0093446B" w:rsidRDefault="0093446B" w:rsidP="0068385C">
      <w:pPr>
        <w:jc w:val="both"/>
      </w:pPr>
      <w:r>
        <w:t>For better safe</w:t>
      </w:r>
      <w:r w:rsidR="008366EF">
        <w:t>ty</w:t>
      </w:r>
      <w:r w:rsidR="005424A9">
        <w:t>,</w:t>
      </w:r>
      <w:r>
        <w:t xml:space="preserve"> </w:t>
      </w:r>
      <w:r w:rsidR="00C24344">
        <w:t xml:space="preserve">and to avoid potential harm, </w:t>
      </w:r>
      <w:r>
        <w:t xml:space="preserve">each lab </w:t>
      </w:r>
      <w:r w:rsidR="008366EF">
        <w:t>must</w:t>
      </w:r>
      <w:r>
        <w:t xml:space="preserve"> reduce its liquid chemicals</w:t>
      </w:r>
      <w:r w:rsidR="008366EF">
        <w:t>’</w:t>
      </w:r>
      <w:r>
        <w:t xml:space="preserve"> stock</w:t>
      </w:r>
      <w:r w:rsidR="005424A9">
        <w:t xml:space="preserve">, starting </w:t>
      </w:r>
      <w:r w:rsidR="008366EF">
        <w:t xml:space="preserve">with </w:t>
      </w:r>
      <w:r w:rsidR="005424A9">
        <w:t>proper disposal of bottles</w:t>
      </w:r>
      <w:r w:rsidR="008366EF">
        <w:t xml:space="preserve"> past expiry dates</w:t>
      </w:r>
      <w:r>
        <w:t>.</w:t>
      </w:r>
      <w:r w:rsidR="005424A9">
        <w:t xml:space="preserve"> </w:t>
      </w:r>
      <w:r w:rsidR="008366EF">
        <w:t>L</w:t>
      </w:r>
      <w:r w:rsidR="005424A9">
        <w:t xml:space="preserve">iquid chemicals </w:t>
      </w:r>
      <w:r w:rsidR="008366EF">
        <w:t>must be stored in a</w:t>
      </w:r>
      <w:r w:rsidR="005424A9">
        <w:t xml:space="preserve"> </w:t>
      </w:r>
      <w:r w:rsidR="0068385C" w:rsidRPr="0068385C">
        <w:t>flammable liquid storage cabinet</w:t>
      </w:r>
      <w:r w:rsidR="0068385C">
        <w:t xml:space="preserve"> </w:t>
      </w:r>
      <w:r w:rsidR="005424A9">
        <w:t>with the addition of secondary containments</w:t>
      </w:r>
      <w:r w:rsidR="008F3B7B">
        <w:t xml:space="preserve">, as shown. </w:t>
      </w:r>
      <w:r w:rsidR="0068385C">
        <w:t xml:space="preserve">In addition, according to TAU </w:t>
      </w:r>
      <w:r w:rsidR="008F3B7B">
        <w:t>S</w:t>
      </w:r>
      <w:r w:rsidR="0068385C">
        <w:t xml:space="preserve">afety </w:t>
      </w:r>
      <w:r w:rsidR="008F3B7B">
        <w:t>U</w:t>
      </w:r>
      <w:r w:rsidR="0068385C">
        <w:t>nit regulations</w:t>
      </w:r>
      <w:r w:rsidR="008F3B7B">
        <w:t>,</w:t>
      </w:r>
      <w:r w:rsidR="0068385C">
        <w:t xml:space="preserve"> such cabinets </w:t>
      </w:r>
      <w:proofErr w:type="gramStart"/>
      <w:r w:rsidR="0068385C">
        <w:t>should be vented</w:t>
      </w:r>
      <w:proofErr w:type="gramEnd"/>
      <w:r w:rsidR="0068385C">
        <w:t>.</w:t>
      </w:r>
    </w:p>
    <w:p w14:paraId="4CD653B7" w14:textId="77777777" w:rsidR="005424A9" w:rsidRDefault="005424A9" w:rsidP="0093446B">
      <w:pPr>
        <w:jc w:val="both"/>
      </w:pPr>
    </w:p>
    <w:p w14:paraId="555660F5" w14:textId="003FA387" w:rsidR="005424A9" w:rsidRDefault="005424A9" w:rsidP="00C60887">
      <w:pPr>
        <w:jc w:val="both"/>
      </w:pPr>
      <w:r>
        <w:t xml:space="preserve">Tel Aviv University safety policy </w:t>
      </w:r>
      <w:proofErr w:type="gramStart"/>
      <w:r w:rsidR="00C60887">
        <w:t>is</w:t>
      </w:r>
      <w:r>
        <w:t xml:space="preserve"> based</w:t>
      </w:r>
      <w:proofErr w:type="gramEnd"/>
      <w:r>
        <w:t xml:space="preserve"> on</w:t>
      </w:r>
      <w:r w:rsidR="008F3B7B">
        <w:t xml:space="preserve"> </w:t>
      </w:r>
      <w:r>
        <w:t>Israeli laws</w:t>
      </w:r>
      <w:r w:rsidR="00E1446F">
        <w:t xml:space="preserve"> (</w:t>
      </w:r>
      <w:hyperlink r:id="rId7" w:history="1">
        <w:r w:rsidR="00E1446F">
          <w:rPr>
            <w:rStyle w:val="Hyperlink"/>
          </w:rPr>
          <w:t>https://safety.tau.ac.il/Safety-in-chem-lab</w:t>
        </w:r>
      </w:hyperlink>
      <w:r w:rsidR="00E1446F">
        <w:t>)</w:t>
      </w:r>
      <w:r>
        <w:t>.</w:t>
      </w:r>
    </w:p>
    <w:p w14:paraId="6DD269CC" w14:textId="77777777" w:rsidR="00687A84" w:rsidRDefault="00687A84" w:rsidP="00C60887">
      <w:pPr>
        <w:jc w:val="both"/>
      </w:pPr>
    </w:p>
    <w:p w14:paraId="4F74BCC2" w14:textId="77777777" w:rsidR="00687A84" w:rsidRDefault="00687A84" w:rsidP="00C60887">
      <w:pPr>
        <w:jc w:val="both"/>
      </w:pPr>
      <w:r>
        <w:t>Sincerely,</w:t>
      </w:r>
    </w:p>
    <w:p w14:paraId="4144985A" w14:textId="77777777" w:rsidR="004840A1" w:rsidRDefault="004840A1" w:rsidP="00C60887">
      <w:pPr>
        <w:jc w:val="both"/>
      </w:pPr>
    </w:p>
    <w:p w14:paraId="7F959B6B" w14:textId="77777777" w:rsidR="00687A84" w:rsidRDefault="0029503F" w:rsidP="00B87BBE">
      <w:pPr>
        <w:jc w:val="both"/>
      </w:pPr>
      <w:r>
        <w:rPr>
          <w:noProof/>
        </w:rPr>
        <w:drawing>
          <wp:inline distT="0" distB="0" distL="0" distR="0" wp14:anchorId="5491E61E" wp14:editId="7C36012F">
            <wp:extent cx="1371600" cy="618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isignatur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857" cy="64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85933" w14:textId="65497B49" w:rsidR="00687A84" w:rsidRDefault="00687A84" w:rsidP="00112C34">
      <w:pPr>
        <w:jc w:val="both"/>
      </w:pPr>
      <w:r>
        <w:t>Dr. Debora Rapaport, PhD</w:t>
      </w:r>
      <w:r w:rsidR="00112C34">
        <w:tab/>
      </w:r>
      <w:r w:rsidR="00112C34">
        <w:tab/>
      </w:r>
      <w:r w:rsidR="00112C34">
        <w:tab/>
        <w:t xml:space="preserve">        Dr. Menachem Genut</w:t>
      </w:r>
      <w:r w:rsidR="00A47018">
        <w:t>, PhD</w:t>
      </w:r>
    </w:p>
    <w:p w14:paraId="2D05DA3B" w14:textId="57D76A04" w:rsidR="00F31D2D" w:rsidRDefault="00687A84" w:rsidP="00F31D2D">
      <w:pPr>
        <w:jc w:val="both"/>
      </w:pPr>
      <w:r>
        <w:t>Safety Officer</w:t>
      </w:r>
      <w:r w:rsidR="00112C34">
        <w:t xml:space="preserve"> – Sackler Faculty of Medicine        Chemical Safety Officer – Safet</w:t>
      </w:r>
      <w:r w:rsidR="0088374B">
        <w:t>y</w:t>
      </w:r>
      <w:r w:rsidR="00112C34">
        <w:t xml:space="preserve"> Unit </w:t>
      </w:r>
    </w:p>
    <w:sectPr w:rsidR="00F31D2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64AE1" w14:textId="77777777" w:rsidR="007718AE" w:rsidRDefault="007718AE" w:rsidP="00D80BB7">
      <w:r>
        <w:separator/>
      </w:r>
    </w:p>
  </w:endnote>
  <w:endnote w:type="continuationSeparator" w:id="0">
    <w:p w14:paraId="3352E251" w14:textId="77777777" w:rsidR="007718AE" w:rsidRDefault="007718AE" w:rsidP="00D8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A637" w14:textId="77777777" w:rsidR="00D80BB7" w:rsidRPr="00AC3529" w:rsidRDefault="00D80BB7" w:rsidP="00D80BB7">
    <w:pPr>
      <w:pStyle w:val="Footer"/>
      <w:rPr>
        <w:sz w:val="20"/>
        <w:szCs w:val="20"/>
      </w:rPr>
    </w:pPr>
    <w:r w:rsidRPr="00AC3529">
      <w:rPr>
        <w:sz w:val="20"/>
        <w:szCs w:val="20"/>
      </w:rPr>
      <w:t>Dr. Debora Rapaport, PhD</w:t>
    </w:r>
    <w:r w:rsidR="00967CB1">
      <w:rPr>
        <w:sz w:val="20"/>
        <w:szCs w:val="20"/>
      </w:rPr>
      <w:tab/>
      <w:t xml:space="preserve">                                                    Department of Clinical Microbiology and Immunology</w:t>
    </w:r>
  </w:p>
  <w:p w14:paraId="68E89193" w14:textId="77777777" w:rsidR="00967CB1" w:rsidRPr="00AC3529" w:rsidRDefault="007E643E" w:rsidP="007E643E">
    <w:pPr>
      <w:rPr>
        <w:sz w:val="20"/>
        <w:szCs w:val="20"/>
        <w:lang w:bidi="ar-SA"/>
      </w:rPr>
    </w:pPr>
    <w:r>
      <w:rPr>
        <w:rFonts w:ascii="Times-Roman" w:hAnsi="Times-Roman" w:cs="Times-Roman"/>
        <w:sz w:val="20"/>
        <w:szCs w:val="20"/>
      </w:rPr>
      <w:t>Safety Officer</w:t>
    </w:r>
    <w:r>
      <w:rPr>
        <w:rFonts w:ascii="Times-Roman" w:hAnsi="Times-Roman" w:cs="Times-Roman"/>
        <w:sz w:val="20"/>
        <w:szCs w:val="20"/>
      </w:rPr>
      <w:tab/>
    </w:r>
    <w:r>
      <w:rPr>
        <w:rFonts w:ascii="Times-Roman" w:hAnsi="Times-Roman" w:cs="Times-Roman"/>
        <w:sz w:val="20"/>
        <w:szCs w:val="20"/>
      </w:rPr>
      <w:tab/>
    </w:r>
    <w:r>
      <w:rPr>
        <w:rFonts w:ascii="Times-Roman" w:hAnsi="Times-Roman" w:cs="Times-Roman"/>
        <w:sz w:val="20"/>
        <w:szCs w:val="20"/>
      </w:rPr>
      <w:tab/>
    </w:r>
    <w:r>
      <w:rPr>
        <w:rFonts w:ascii="Times-Roman" w:hAnsi="Times-Roman" w:cs="Times-Roman"/>
        <w:sz w:val="20"/>
        <w:szCs w:val="20"/>
      </w:rPr>
      <w:tab/>
    </w:r>
    <w:r>
      <w:rPr>
        <w:rFonts w:ascii="Times-Roman" w:hAnsi="Times-Roman" w:cs="Times-Roman"/>
        <w:sz w:val="20"/>
        <w:szCs w:val="20"/>
      </w:rPr>
      <w:tab/>
      <w:t xml:space="preserve">        </w:t>
    </w:r>
    <w:r w:rsidRPr="00AC3529">
      <w:rPr>
        <w:sz w:val="20"/>
        <w:szCs w:val="20"/>
        <w:lang w:bidi="ar-SA"/>
      </w:rPr>
      <w:t>Tel Aviv University</w:t>
    </w:r>
    <w:r>
      <w:rPr>
        <w:sz w:val="20"/>
        <w:szCs w:val="20"/>
        <w:lang w:bidi="ar-SA"/>
      </w:rPr>
      <w:t>, Tel Aviv 6997801, Israel</w:t>
    </w:r>
    <w:r>
      <w:rPr>
        <w:sz w:val="20"/>
        <w:szCs w:val="20"/>
        <w:lang w:bidi="ar-SA"/>
      </w:rPr>
      <w:tab/>
    </w:r>
    <w:r>
      <w:rPr>
        <w:sz w:val="20"/>
        <w:szCs w:val="20"/>
        <w:lang w:bidi="ar-SA"/>
      </w:rPr>
      <w:tab/>
      <w:t xml:space="preserve">        </w:t>
    </w:r>
    <w:r w:rsidRPr="00AC3529">
      <w:rPr>
        <w:sz w:val="20"/>
        <w:szCs w:val="20"/>
        <w:lang w:bidi="ar-SA"/>
      </w:rPr>
      <w:br/>
    </w:r>
    <w:r w:rsidR="00967CB1">
      <w:rPr>
        <w:rFonts w:ascii="Times-Roman" w:hAnsi="Times-Roman" w:cs="Times-Roman"/>
        <w:sz w:val="20"/>
        <w:szCs w:val="20"/>
      </w:rPr>
      <w:t>Sackler Faculty of Medicine</w:t>
    </w:r>
    <w:r>
      <w:rPr>
        <w:rFonts w:ascii="Times-Roman" w:hAnsi="Times-Roman" w:cs="Times-Roman"/>
        <w:sz w:val="20"/>
        <w:szCs w:val="20"/>
      </w:rPr>
      <w:tab/>
    </w:r>
    <w:r>
      <w:rPr>
        <w:rFonts w:ascii="Times-Roman" w:hAnsi="Times-Roman" w:cs="Times-Roman"/>
        <w:sz w:val="20"/>
        <w:szCs w:val="20"/>
      </w:rPr>
      <w:tab/>
    </w:r>
    <w:r>
      <w:rPr>
        <w:rFonts w:ascii="Times-Roman" w:hAnsi="Times-Roman" w:cs="Times-Roman"/>
        <w:sz w:val="20"/>
        <w:szCs w:val="20"/>
      </w:rPr>
      <w:tab/>
      <w:t xml:space="preserve">        </w:t>
    </w:r>
    <w:r>
      <w:rPr>
        <w:sz w:val="20"/>
        <w:szCs w:val="20"/>
      </w:rPr>
      <w:t>Lab</w:t>
    </w:r>
    <w:r w:rsidRPr="00AC3529">
      <w:rPr>
        <w:sz w:val="20"/>
        <w:szCs w:val="20"/>
        <w:lang w:bidi="ar-SA"/>
      </w:rPr>
      <w:t>: +972-3-6405137</w:t>
    </w:r>
  </w:p>
  <w:p w14:paraId="3D25AF83" w14:textId="77777777" w:rsidR="00AC3529" w:rsidRPr="00AC3529" w:rsidRDefault="007E643E" w:rsidP="00AC3529">
    <w:pPr>
      <w:rPr>
        <w:sz w:val="20"/>
        <w:szCs w:val="20"/>
        <w:lang w:bidi="ar-SA"/>
      </w:rPr>
    </w:pPr>
    <w:r>
      <w:rPr>
        <w:sz w:val="20"/>
        <w:szCs w:val="20"/>
        <w:lang w:bidi="ar-SA"/>
      </w:rPr>
      <w:t>debirapa@tauex.tau.ac.il</w:t>
    </w:r>
    <w:r w:rsidR="00967CB1">
      <w:rPr>
        <w:sz w:val="20"/>
        <w:szCs w:val="20"/>
        <w:lang w:bidi="ar-SA"/>
      </w:rPr>
      <w:tab/>
    </w:r>
    <w:r w:rsidR="00967CB1">
      <w:rPr>
        <w:sz w:val="20"/>
        <w:szCs w:val="20"/>
        <w:lang w:bidi="ar-SA"/>
      </w:rPr>
      <w:tab/>
    </w:r>
    <w:r w:rsidR="00967CB1">
      <w:rPr>
        <w:sz w:val="20"/>
        <w:szCs w:val="20"/>
        <w:lang w:bidi="ar-SA"/>
      </w:rPr>
      <w:tab/>
    </w:r>
    <w:r w:rsidR="00967CB1">
      <w:rPr>
        <w:sz w:val="20"/>
        <w:szCs w:val="20"/>
        <w:lang w:bidi="ar-SA"/>
      </w:rPr>
      <w:tab/>
      <w:t xml:space="preserve">        </w:t>
    </w:r>
    <w:r w:rsidR="00967CB1" w:rsidRPr="00AC3529">
      <w:rPr>
        <w:sz w:val="20"/>
        <w:szCs w:val="20"/>
        <w:lang w:bidi="ar-SA"/>
      </w:rPr>
      <w:t>Fax: +972-3-6409160</w:t>
    </w:r>
  </w:p>
  <w:p w14:paraId="69CAF8C6" w14:textId="77777777" w:rsidR="00AC3529" w:rsidRPr="00AC3529" w:rsidRDefault="00AC3529" w:rsidP="00967CB1">
    <w:pPr>
      <w:pStyle w:val="Footer"/>
      <w:rPr>
        <w:sz w:val="20"/>
        <w:szCs w:val="20"/>
      </w:rPr>
    </w:pPr>
    <w:r w:rsidRPr="00AC3529">
      <w:rPr>
        <w:sz w:val="20"/>
        <w:szCs w:val="20"/>
        <w:lang w:bidi="ar-SA"/>
      </w:rPr>
      <w:br/>
    </w:r>
  </w:p>
  <w:p w14:paraId="2AB6A902" w14:textId="77777777" w:rsidR="00D80BB7" w:rsidRDefault="00D8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97A0F" w14:textId="77777777" w:rsidR="007718AE" w:rsidRDefault="007718AE" w:rsidP="00D80BB7">
      <w:r>
        <w:separator/>
      </w:r>
    </w:p>
  </w:footnote>
  <w:footnote w:type="continuationSeparator" w:id="0">
    <w:p w14:paraId="2E5F8838" w14:textId="77777777" w:rsidR="007718AE" w:rsidRDefault="007718AE" w:rsidP="00D8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514A" w14:textId="77777777" w:rsidR="002458FC" w:rsidRDefault="00806815" w:rsidP="002458FC">
    <w:pPr>
      <w:pStyle w:val="Header"/>
    </w:pPr>
    <w:r w:rsidRPr="002458FC">
      <w:rPr>
        <w:noProof/>
      </w:rPr>
      <w:drawing>
        <wp:anchor distT="0" distB="0" distL="114300" distR="114300" simplePos="0" relativeHeight="251659264" behindDoc="0" locked="0" layoutInCell="1" allowOverlap="1" wp14:anchorId="204A3C09" wp14:editId="5AEDDAFE">
          <wp:simplePos x="0" y="0"/>
          <wp:positionH relativeFrom="margin">
            <wp:align>center</wp:align>
          </wp:positionH>
          <wp:positionV relativeFrom="margin">
            <wp:posOffset>-716280</wp:posOffset>
          </wp:positionV>
          <wp:extent cx="1652282" cy="880110"/>
          <wp:effectExtent l="0" t="0" r="5080" b="0"/>
          <wp:wrapSquare wrapText="bothSides"/>
          <wp:docPr id="19" name="Picture 1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4310" r="4761" b="4310"/>
                  <a:stretch/>
                </pic:blipFill>
                <pic:spPr bwMode="auto">
                  <a:xfrm>
                    <a:off x="0" y="0"/>
                    <a:ext cx="1652282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08150" w14:textId="77777777" w:rsidR="002458FC" w:rsidRDefault="00245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5A"/>
    <w:rsid w:val="00092269"/>
    <w:rsid w:val="000A215A"/>
    <w:rsid w:val="000C595D"/>
    <w:rsid w:val="000F57B3"/>
    <w:rsid w:val="00112C34"/>
    <w:rsid w:val="00136219"/>
    <w:rsid w:val="001878DE"/>
    <w:rsid w:val="002458FC"/>
    <w:rsid w:val="0029503F"/>
    <w:rsid w:val="002A4774"/>
    <w:rsid w:val="00320430"/>
    <w:rsid w:val="003E16B8"/>
    <w:rsid w:val="00414B3A"/>
    <w:rsid w:val="00425FBC"/>
    <w:rsid w:val="00474E97"/>
    <w:rsid w:val="004840A1"/>
    <w:rsid w:val="005424A9"/>
    <w:rsid w:val="00574184"/>
    <w:rsid w:val="0068385C"/>
    <w:rsid w:val="00687A84"/>
    <w:rsid w:val="006B39EE"/>
    <w:rsid w:val="0073401C"/>
    <w:rsid w:val="007718AE"/>
    <w:rsid w:val="0077308D"/>
    <w:rsid w:val="007D4050"/>
    <w:rsid w:val="007E643E"/>
    <w:rsid w:val="00806815"/>
    <w:rsid w:val="008258DD"/>
    <w:rsid w:val="00831C55"/>
    <w:rsid w:val="008366EF"/>
    <w:rsid w:val="0088374B"/>
    <w:rsid w:val="00893420"/>
    <w:rsid w:val="008B3E25"/>
    <w:rsid w:val="008F3B7B"/>
    <w:rsid w:val="00915EA1"/>
    <w:rsid w:val="0093446B"/>
    <w:rsid w:val="00967CB1"/>
    <w:rsid w:val="00A47018"/>
    <w:rsid w:val="00A5466A"/>
    <w:rsid w:val="00A72A23"/>
    <w:rsid w:val="00A82F04"/>
    <w:rsid w:val="00AC3529"/>
    <w:rsid w:val="00B005F9"/>
    <w:rsid w:val="00B87BBE"/>
    <w:rsid w:val="00BD7C0C"/>
    <w:rsid w:val="00C05827"/>
    <w:rsid w:val="00C24344"/>
    <w:rsid w:val="00C5486D"/>
    <w:rsid w:val="00C60887"/>
    <w:rsid w:val="00CC1E22"/>
    <w:rsid w:val="00D80BB7"/>
    <w:rsid w:val="00E1446F"/>
    <w:rsid w:val="00E44333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A268F"/>
  <w15:chartTrackingRefBased/>
  <w15:docId w15:val="{B3DCEBA1-29B7-4418-814C-0DC6C13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BB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8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BB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6A"/>
    <w:rPr>
      <w:rFonts w:ascii="Segoe UI" w:eastAsia="Times New Roman" w:hAnsi="Segoe UI" w:cs="Segoe UI"/>
      <w:sz w:val="18"/>
      <w:szCs w:val="18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1446F"/>
    <w:rPr>
      <w:color w:val="0000FF"/>
      <w:u w:val="single"/>
    </w:rPr>
  </w:style>
  <w:style w:type="paragraph" w:styleId="Revision">
    <w:name w:val="Revision"/>
    <w:hidden/>
    <w:uiPriority w:val="99"/>
    <w:semiHidden/>
    <w:rsid w:val="0047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safety.tau.ac.il/Safety-in-chem-l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4</cp:revision>
  <cp:lastPrinted>2019-07-08T15:30:00Z</cp:lastPrinted>
  <dcterms:created xsi:type="dcterms:W3CDTF">2019-07-10T15:38:00Z</dcterms:created>
  <dcterms:modified xsi:type="dcterms:W3CDTF">2019-07-10T16:05:00Z</dcterms:modified>
</cp:coreProperties>
</file>